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jc w:val="center"/>
        <w:tblLook w:firstColumn="1" w:firstRow="1" w:lastColumn="0" w:lastRow="0" w:noHBand="0" w:noVBand="1" w:val="04A0"/>
      </w:tblPr>
      <w:tblGrid>
        <w:gridCol w:w="9406"/>
      </w:tblGrid>
      <w:tr>
        <w:trPr>
          <w:trHeight w:val="1474" w:hRule="exact"/>
        </w:trPr>
        <w:tc>
          <w:tcPr>
            <w:tcW w:type="dxa" w:w="9406"/>
            <w:shd w:val="clear" w:color="auto" w:fill="1F2D54"/>
          </w:tcPr>
          <w:p>
            <w:pPr>
              <w:jc w:val="center"/>
            </w:pPr>
            <w:r>
              <w:rPr>
                <w:rFonts w:ascii="Calibri" w:hAnsi="Calibri"/>
                <w:b/>
                <w:color w:val="FFFFFF"/>
                <w:sz w:val="44"/>
              </w:rPr>
              <w:t>EXCEL AUTOMATION PORTFOLIO CASE STUDY</w:t>
            </w:r>
          </w:p>
        </w:tc>
      </w:tr>
      <w:tr>
        <w:trPr>
          <w:trHeight w:val="567" w:hRule="exact"/>
        </w:trPr>
        <w:tc>
          <w:tcPr>
            <w:tcW w:type="dxa" w:w="9406"/>
            <w:shd w:val="clear" w:color="auto" w:fill="2E4272"/>
          </w:tcPr>
          <w:p>
            <w:pPr>
              <w:jc w:val="center"/>
            </w:pPr>
            <w:r>
              <w:rPr>
                <w:rFonts w:ascii="Calibri" w:hAnsi="Calibri"/>
                <w:i/>
                <w:color w:val="D6E4F7"/>
                <w:sz w:val="24"/>
              </w:rPr>
              <w:t>Import Cost Calculator — Automated Landed Cost Engine &amp; Pricing System</w:t>
            </w:r>
          </w:p>
        </w:tc>
      </w:tr>
      <w:tr>
        <w:trPr>
          <w:trHeight w:val="396" w:hRule="exact"/>
        </w:trPr>
        <w:tc>
          <w:tcPr>
            <w:tcW w:type="dxa" w:w="9406"/>
            <w:shd w:val="clear" w:color="auto" w:fill="3A6EC2"/>
          </w:tcPr>
          <w:p>
            <w:pPr>
              <w:jc w:val="center"/>
            </w:pPr>
            <w:r>
              <w:rPr>
                <w:rFonts w:ascii="Calibri" w:hAnsi="Calibri"/>
                <w:color w:val="FFFFFF"/>
                <w:sz w:val="18"/>
              </w:rPr>
              <w:t>Microsoft Excel  |  Financial Modeling  |  Business Intelligence  |  International Trade</w:t>
            </w:r>
          </w:p>
        </w:tc>
      </w:tr>
    </w:tbl>
    <w:p/>
    <w:tbl>
      <w:tblPr>
        <w:tblStyle w:val="TableGrid"/>
        <w:tblW w:type="auto" w:w="0"/>
        <w:jc w:val="center"/>
        <w:tblLook w:firstColumn="1" w:firstRow="1" w:lastColumn="0" w:lastRow="0" w:noHBand="0" w:noVBand="1" w:val="04A0"/>
      </w:tblPr>
      <w:tblGrid>
        <w:gridCol w:w="3135"/>
        <w:gridCol w:w="3135"/>
        <w:gridCol w:w="3135"/>
      </w:tblGrid>
      <w:tr>
        <w:trPr>
          <w:trHeight w:val="1020" w:hRule="exact"/>
          <w:trHeight w:val="1020" w:hRule="exact"/>
          <w:trHeight w:val="1020" w:hRule="exact"/>
        </w:trPr>
        <w:tc>
          <w:tcPr>
            <w:tcW w:type="dxa" w:w="3135"/>
            <w:shd w:val="clear" w:color="auto" w:fill="1F2D54"/>
          </w:tcPr>
          <w:p>
            <w:pPr>
              <w:jc w:val="center"/>
            </w:pPr>
            <w:r>
              <w:rPr>
                <w:rFonts w:ascii="Calibri" w:hAnsi="Calibri"/>
                <w:b/>
                <w:color w:val="F4C542"/>
                <w:sz w:val="18"/>
              </w:rPr>
              <w:t>🎯 PROJECT TYPE</w:t>
              <w:br/>
            </w:r>
            <w:r>
              <w:rPr>
                <w:rFonts w:ascii="Calibri" w:hAnsi="Calibri"/>
                <w:b/>
                <w:color w:val="FFFFFF"/>
                <w:sz w:val="22"/>
              </w:rPr>
              <w:t>Excel Automation</w:t>
              <w:br/>
              <w:t>Consulting Portfolio</w:t>
            </w:r>
          </w:p>
        </w:tc>
        <w:tc>
          <w:tcPr>
            <w:tcW w:type="dxa" w:w="3135"/>
            <w:shd w:val="clear" w:color="auto" w:fill="2E4272"/>
          </w:tcPr>
          <w:p>
            <w:pPr>
              <w:jc w:val="center"/>
            </w:pPr>
            <w:r>
              <w:rPr>
                <w:rFonts w:ascii="Calibri" w:hAnsi="Calibri"/>
                <w:b/>
                <w:color w:val="F4C542"/>
                <w:sz w:val="18"/>
              </w:rPr>
              <w:t>🏭 INDUSTRY</w:t>
              <w:br/>
            </w:r>
            <w:r>
              <w:rPr>
                <w:rFonts w:ascii="Calibri" w:hAnsi="Calibri"/>
                <w:b/>
                <w:color w:val="FFFFFF"/>
                <w:sz w:val="22"/>
              </w:rPr>
              <w:t>International Trade</w:t>
              <w:br/>
              <w:t>Food &amp; Beverage</w:t>
            </w:r>
          </w:p>
        </w:tc>
        <w:tc>
          <w:tcPr>
            <w:tcW w:type="dxa" w:w="3135"/>
            <w:shd w:val="clear" w:color="auto" w:fill="3A6EC2"/>
          </w:tcPr>
          <w:p>
            <w:pPr>
              <w:jc w:val="center"/>
            </w:pPr>
            <w:r>
              <w:rPr>
                <w:rFonts w:ascii="Calibri" w:hAnsi="Calibri"/>
                <w:b/>
                <w:color w:val="F4C542"/>
                <w:sz w:val="18"/>
              </w:rPr>
              <w:t>⚙️ TOOLS</w:t>
              <w:br/>
            </w:r>
            <w:r>
              <w:rPr>
                <w:rFonts w:ascii="Calibri" w:hAnsi="Calibri"/>
                <w:b/>
                <w:color w:val="FFFFFF"/>
                <w:sz w:val="22"/>
              </w:rPr>
              <w:t>Excel · Formulas</w:t>
              <w:br/>
              <w:t>Charts · Validation</w:t>
            </w:r>
          </w:p>
        </w:tc>
      </w:tr>
    </w:tbl>
    <w:p/>
    <w:p>
      <w:pPr>
        <w:spacing w:before="280" w:after="80"/>
        <w:shd w:val="clear" w:color="auto" w:fill="1F2D54"/>
      </w:pPr>
      <w:r>
        <w:rPr>
          <w:rFonts w:ascii="Calibri" w:hAnsi="Calibri"/>
          <w:b/>
          <w:color w:val="FFFFFF"/>
          <w:sz w:val="24"/>
        </w:rPr>
        <w:t xml:space="preserve">  1. PROJECT SUMMARY  </w:t>
      </w:r>
    </w:p>
    <w:p>
      <w:pPr>
        <w:spacing w:before="40" w:after="80"/>
        <w:ind w:firstLine="0"/>
      </w:pPr>
      <w:r>
        <w:rPr>
          <w:rFonts w:ascii="Calibri" w:hAnsi="Calibri"/>
          <w:color w:val="2C3E50"/>
          <w:sz w:val="21"/>
        </w:rPr>
        <w:t>This portfolio project demonstrates the design and delivery of a professional Excel automation system for import cost management in the food &amp; beverage sector. The deliverable is a fully automated, multi-sheet Excel workbook that calculates the total landed cost of imported goods across 10 products from 8 countries, handles multi-currency FOB pricing, allocates fixed shipment costs per unit, and generates margin-based sale prices — all without VBA macros.</w:t>
      </w:r>
    </w:p>
    <w:p>
      <w:pPr>
        <w:spacing w:before="40" w:after="80"/>
        <w:ind w:firstLine="0"/>
      </w:pPr>
      <w:r>
        <w:rPr>
          <w:rFonts w:ascii="Calibri" w:hAnsi="Calibri"/>
          <w:color w:val="2C3E50"/>
          <w:sz w:val="21"/>
        </w:rPr>
        <w:t>The system is designed to be maintained by non-technical operations staff while providing consulting-grade accuracy and executive-level reporting through a professional dashboard.</w:t>
      </w:r>
    </w:p>
    <w:tbl>
      <w:tblPr>
        <w:tblStyle w:val="TableGrid"/>
        <w:tblW w:type="auto" w:w="0"/>
        <w:jc w:val="center"/>
        <w:tblLook w:firstColumn="1" w:firstRow="1" w:lastColumn="0" w:lastRow="0" w:noHBand="0" w:noVBand="1" w:val="04A0"/>
      </w:tblPr>
      <w:tblGrid>
        <w:gridCol w:w="1881"/>
        <w:gridCol w:w="1881"/>
        <w:gridCol w:w="1881"/>
        <w:gridCol w:w="1881"/>
        <w:gridCol w:w="1881"/>
      </w:tblGrid>
      <w:tr>
        <w:trPr>
          <w:trHeight w:val="340" w:hRule="exact"/>
          <w:trHeight w:val="340" w:hRule="exact"/>
          <w:trHeight w:val="340" w:hRule="exact"/>
          <w:trHeight w:val="340" w:hRule="exact"/>
          <w:trHeight w:val="340" w:hRule="exact"/>
        </w:trPr>
        <w:tc>
          <w:tcPr>
            <w:tcW w:type="dxa" w:w="1881"/>
            <w:shd w:val="clear" w:color="auto" w:fill="1F2D54"/>
          </w:tcPr>
          <w:p>
            <w:pPr>
              <w:jc w:val="center"/>
            </w:pPr>
            <w:r>
              <w:rPr>
                <w:rFonts w:ascii="Calibri" w:hAnsi="Calibri"/>
                <w:b/>
                <w:color w:val="FFFFFF"/>
                <w:sz w:val="16"/>
              </w:rPr>
              <w:t>10 PRODUCTS</w:t>
            </w:r>
          </w:p>
        </w:tc>
        <w:tc>
          <w:tcPr>
            <w:tcW w:type="dxa" w:w="1881"/>
            <w:shd w:val="clear" w:color="auto" w:fill="2E4272"/>
          </w:tcPr>
          <w:p>
            <w:pPr>
              <w:jc w:val="center"/>
            </w:pPr>
            <w:r>
              <w:rPr>
                <w:rFonts w:ascii="Calibri" w:hAnsi="Calibri"/>
                <w:b/>
                <w:color w:val="FFFFFF"/>
                <w:sz w:val="16"/>
              </w:rPr>
              <w:t>6 COST COMPONENTS</w:t>
            </w:r>
          </w:p>
        </w:tc>
        <w:tc>
          <w:tcPr>
            <w:tcW w:type="dxa" w:w="1881"/>
            <w:shd w:val="clear" w:color="auto" w:fill="3A6EC2"/>
          </w:tcPr>
          <w:p>
            <w:pPr>
              <w:jc w:val="center"/>
            </w:pPr>
            <w:r>
              <w:rPr>
                <w:rFonts w:ascii="Calibri" w:hAnsi="Calibri"/>
                <w:b/>
                <w:color w:val="FFFFFF"/>
                <w:sz w:val="16"/>
              </w:rPr>
              <w:t>3 SCENARIOS</w:t>
            </w:r>
          </w:p>
        </w:tc>
        <w:tc>
          <w:tcPr>
            <w:tcW w:type="dxa" w:w="1881"/>
            <w:shd w:val="clear" w:color="auto" w:fill="E67E22"/>
          </w:tcPr>
          <w:p>
            <w:pPr>
              <w:jc w:val="center"/>
            </w:pPr>
            <w:r>
              <w:rPr>
                <w:rFonts w:ascii="Calibri" w:hAnsi="Calibri"/>
                <w:b/>
                <w:color w:val="FFFFFF"/>
                <w:sz w:val="16"/>
              </w:rPr>
              <w:t>8 SHEETS</w:t>
            </w:r>
          </w:p>
        </w:tc>
        <w:tc>
          <w:tcPr>
            <w:tcW w:type="dxa" w:w="1881"/>
            <w:shd w:val="clear" w:color="auto" w:fill="27AE60"/>
          </w:tcPr>
          <w:p>
            <w:pPr>
              <w:jc w:val="center"/>
            </w:pPr>
            <w:r>
              <w:rPr>
                <w:rFonts w:ascii="Calibri" w:hAnsi="Calibri"/>
                <w:b/>
                <w:color w:val="FFFFFF"/>
                <w:sz w:val="16"/>
              </w:rPr>
              <w:t>45% TARGET</w:t>
            </w:r>
          </w:p>
        </w:tc>
      </w:tr>
      <w:tr>
        <w:trPr>
          <w:trHeight w:val="567" w:hRule="exact"/>
          <w:trHeight w:val="567" w:hRule="exact"/>
          <w:trHeight w:val="567" w:hRule="exact"/>
          <w:trHeight w:val="567" w:hRule="exact"/>
          <w:trHeight w:val="567" w:hRule="exact"/>
        </w:trPr>
        <w:tc>
          <w:tcPr>
            <w:tcW w:type="dxa" w:w="1881"/>
            <w:shd w:val="clear" w:color="auto" w:fill="1F2D54"/>
          </w:tcPr>
          <w:p>
            <w:pPr>
              <w:jc w:val="center"/>
            </w:pPr>
            <w:r>
              <w:rPr>
                <w:rFonts w:ascii="Calibri" w:hAnsi="Calibri"/>
                <w:b/>
                <w:color w:val="FFFFFF"/>
                <w:sz w:val="28"/>
              </w:rPr>
              <w:t>8 Countries</w:t>
            </w:r>
          </w:p>
        </w:tc>
        <w:tc>
          <w:tcPr>
            <w:tcW w:type="dxa" w:w="1881"/>
            <w:shd w:val="clear" w:color="auto" w:fill="2E4272"/>
          </w:tcPr>
          <w:p>
            <w:pPr>
              <w:jc w:val="center"/>
            </w:pPr>
            <w:r>
              <w:rPr>
                <w:rFonts w:ascii="Calibri" w:hAnsi="Calibri"/>
                <w:b/>
                <w:color w:val="FFFFFF"/>
                <w:sz w:val="28"/>
              </w:rPr>
              <w:t>Per Unit</w:t>
            </w:r>
          </w:p>
        </w:tc>
        <w:tc>
          <w:tcPr>
            <w:tcW w:type="dxa" w:w="1881"/>
            <w:shd w:val="clear" w:color="auto" w:fill="3A6EC2"/>
          </w:tcPr>
          <w:p>
            <w:pPr>
              <w:jc w:val="center"/>
            </w:pPr>
            <w:r>
              <w:rPr>
                <w:rFonts w:ascii="Calibri" w:hAnsi="Calibri"/>
                <w:b/>
                <w:color w:val="FFFFFF"/>
                <w:sz w:val="28"/>
              </w:rPr>
              <w:t>What-If</w:t>
            </w:r>
          </w:p>
        </w:tc>
        <w:tc>
          <w:tcPr>
            <w:tcW w:type="dxa" w:w="1881"/>
            <w:shd w:val="clear" w:color="auto" w:fill="E67E22"/>
          </w:tcPr>
          <w:p>
            <w:pPr>
              <w:jc w:val="center"/>
            </w:pPr>
            <w:r>
              <w:rPr>
                <w:rFonts w:ascii="Calibri" w:hAnsi="Calibri"/>
                <w:b/>
                <w:color w:val="FFFFFF"/>
                <w:sz w:val="28"/>
              </w:rPr>
              <w:t>Architecture</w:t>
            </w:r>
          </w:p>
        </w:tc>
        <w:tc>
          <w:tcPr>
            <w:tcW w:type="dxa" w:w="1881"/>
            <w:shd w:val="clear" w:color="auto" w:fill="27AE60"/>
          </w:tcPr>
          <w:p>
            <w:pPr>
              <w:jc w:val="center"/>
            </w:pPr>
            <w:r>
              <w:rPr>
                <w:rFonts w:ascii="Calibri" w:hAnsi="Calibri"/>
                <w:b/>
                <w:color w:val="FFFFFF"/>
                <w:sz w:val="28"/>
              </w:rPr>
              <w:t>Gross Margin</w:t>
            </w:r>
          </w:p>
        </w:tc>
      </w:tr>
    </w:tbl>
    <w:p/>
    <w:p>
      <w:pPr>
        <w:spacing w:before="280" w:after="80"/>
        <w:shd w:val="clear" w:color="auto" w:fill="1F2D54"/>
      </w:pPr>
      <w:r>
        <w:rPr>
          <w:rFonts w:ascii="Calibri" w:hAnsi="Calibri"/>
          <w:b/>
          <w:color w:val="FFFFFF"/>
          <w:sz w:val="24"/>
        </w:rPr>
        <w:t xml:space="preserve">  2. BUSINESS PROBLEM  </w:t>
      </w:r>
    </w:p>
    <w:p>
      <w:pPr>
        <w:spacing w:before="40" w:after="80"/>
        <w:ind w:firstLine="0"/>
      </w:pPr>
      <w:r>
        <w:rPr>
          <w:rFonts w:ascii="Calibri" w:hAnsi="Calibri"/>
          <w:color w:val="2C3E50"/>
          <w:sz w:val="21"/>
        </w:rPr>
        <w:t>A food and beverage importer sourcing products from Europe, the Middle East, the Americas, and Asia faced significant challenges managing landed cost calculations manually:</w:t>
      </w:r>
    </w:p>
    <w:p>
      <w:pPr>
        <w:pStyle w:val="ListBullet"/>
        <w:spacing w:before="20" w:after="20"/>
      </w:pPr>
      <w:r>
        <w:rPr>
          <w:rFonts w:ascii="Calibri" w:hAnsi="Calibri"/>
          <w:color w:val="2C3E50"/>
          <w:sz w:val="21"/>
        </w:rPr>
        <w:t>Products were priced on estimated FOB costs, ignoring freight, insurance, duty, and VAT, leading to negative margins</w:t>
      </w:r>
    </w:p>
    <w:p>
      <w:pPr>
        <w:pStyle w:val="ListBullet"/>
        <w:spacing w:before="20" w:after="20"/>
      </w:pPr>
      <w:r>
        <w:rPr>
          <w:rFonts w:ascii="Calibri" w:hAnsi="Calibri"/>
          <w:color w:val="2C3E50"/>
          <w:sz w:val="21"/>
        </w:rPr>
        <w:t>FOB prices in EUR, AED, and INR were manually converted using outdated exchange rates</w:t>
      </w:r>
    </w:p>
    <w:p>
      <w:pPr>
        <w:pStyle w:val="ListBullet"/>
        <w:spacing w:before="20" w:after="20"/>
      </w:pPr>
      <w:r>
        <w:rPr>
          <w:rFonts w:ascii="Calibri" w:hAnsi="Calibri"/>
          <w:color w:val="2C3E50"/>
          <w:sz w:val="21"/>
        </w:rPr>
        <w:t>Customs clearance fees of $450 per shipment were not allocated per product, distorting unit economics</w:t>
      </w:r>
    </w:p>
    <w:p>
      <w:pPr>
        <w:pStyle w:val="ListBullet"/>
        <w:spacing w:before="20" w:after="20"/>
      </w:pPr>
      <w:r>
        <w:rPr>
          <w:rFonts w:ascii="Calibri" w:hAnsi="Calibri"/>
          <w:color w:val="2C3E50"/>
          <w:sz w:val="21"/>
        </w:rPr>
        <w:t>When freight rates increased (e.g., during peak season), the team had no way to model the pricing impact</w:t>
      </w:r>
    </w:p>
    <w:p>
      <w:pPr>
        <w:pStyle w:val="ListBullet"/>
        <w:spacing w:before="20" w:after="20"/>
      </w:pPr>
      <w:r>
        <w:rPr>
          <w:rFonts w:ascii="Calibri" w:hAnsi="Calibri"/>
          <w:color w:val="2C3E50"/>
          <w:sz w:val="21"/>
        </w:rPr>
        <w:t>Monthly cost reconciliation required 3–4 hours of manual spreadsheet work per analyst</w:t>
      </w:r>
    </w:p>
    <w:p>
      <w:pPr>
        <w:spacing w:before="280" w:after="80"/>
        <w:shd w:val="clear" w:color="auto" w:fill="1F2D54"/>
      </w:pPr>
      <w:r>
        <w:rPr>
          <w:rFonts w:ascii="Calibri" w:hAnsi="Calibri"/>
          <w:b/>
          <w:color w:val="FFFFFF"/>
          <w:sz w:val="24"/>
        </w:rPr>
        <w:t xml:space="preserve">  3. DATASET DESCRIPTION  </w:t>
      </w:r>
    </w:p>
    <w:p>
      <w:pPr>
        <w:spacing w:before="40" w:after="80"/>
        <w:ind w:firstLine="0"/>
      </w:pPr>
      <w:r>
        <w:rPr>
          <w:rFonts w:ascii="Calibri" w:hAnsi="Calibri"/>
          <w:color w:val="2C3E50"/>
          <w:sz w:val="21"/>
        </w:rPr>
        <w:t>The model operates on a structured dataset of 10 imported SKUs stored in the PRODUCTS master table. Each product includes origin country, FOB currency, local FOB price, physical dimensions (weight and volume), and shipment unit count — all fields required by the automated calculation engine.</w:t>
      </w:r>
    </w:p>
    <w:tbl>
      <w:tblPr>
        <w:tblStyle w:val="TableGrid"/>
        <w:tblW w:type="auto" w:w="0"/>
        <w:jc w:val="center"/>
        <w:tblLook w:firstColumn="1" w:firstRow="1" w:lastColumn="0" w:lastRow="0" w:noHBand="0" w:noVBand="1" w:val="04A0"/>
      </w:tblPr>
      <w:tblGrid>
        <w:gridCol w:w="3135"/>
        <w:gridCol w:w="3135"/>
        <w:gridCol w:w="3135"/>
      </w:tblGrid>
      <w:tr>
        <w:tc>
          <w:tcPr>
            <w:tcW w:type="dxa" w:w="3135"/>
            <w:shd w:val="clear" w:color="auto" w:fill="263C6F"/>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Field</w:t>
            </w:r>
          </w:p>
        </w:tc>
        <w:tc>
          <w:tcPr>
            <w:tcW w:type="dxa" w:w="3135"/>
            <w:shd w:val="clear" w:color="auto" w:fill="263C6F"/>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Type</w:t>
            </w:r>
          </w:p>
        </w:tc>
        <w:tc>
          <w:tcPr>
            <w:tcW w:type="dxa" w:w="3135"/>
            <w:shd w:val="clear" w:color="auto" w:fill="263C6F"/>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Description</w:t>
            </w:r>
          </w:p>
        </w:tc>
      </w:tr>
      <w:tr>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Product ID</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Text</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Unique identifier (P001–P010)</w:t>
            </w:r>
          </w:p>
        </w:tc>
      </w:tr>
      <w:tr>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Product Name</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Text</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Descriptive SKU name</w:t>
            </w:r>
          </w:p>
        </w:tc>
      </w:tr>
      <w:tr>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Origin Country</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Text</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Supplier country (8 countries)</w:t>
            </w:r>
          </w:p>
        </w:tc>
      </w:tr>
      <w:tr>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FOB Currency</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Lookup</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EUR, USD, AED, INR — drives FX conversion</w:t>
            </w:r>
          </w:p>
        </w:tc>
      </w:tr>
      <w:tr>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FOB Price Local</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Number</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Price in supplier currency</w:t>
            </w:r>
          </w:p>
        </w:tc>
      </w:tr>
      <w:tr>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FOB Price USD</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Formula</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=FOB Local × VLOOKUP(Currency, FX_RATES, Rate)</w:t>
            </w:r>
          </w:p>
        </w:tc>
      </w:tr>
      <w:tr>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Weight (kg)</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Number</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Used to calculate port handling cost</w:t>
            </w:r>
          </w:p>
        </w:tc>
      </w:tr>
      <w:tr>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Volume (CBM)</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Number</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Used to calculate ocean freight cost</w:t>
            </w:r>
          </w:p>
        </w:tc>
      </w:tr>
      <w:tr>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Units/Shipment</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Number</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Drives proportional cost allocation</w:t>
            </w:r>
          </w:p>
        </w:tc>
      </w:tr>
    </w:tbl>
    <w:p/>
    <w:p>
      <w:pPr>
        <w:spacing w:before="280" w:after="80"/>
        <w:shd w:val="clear" w:color="auto" w:fill="1F2D54"/>
      </w:pPr>
      <w:r>
        <w:rPr>
          <w:rFonts w:ascii="Calibri" w:hAnsi="Calibri"/>
          <w:b/>
          <w:color w:val="FFFFFF"/>
          <w:sz w:val="24"/>
        </w:rPr>
        <w:t xml:space="preserve">  4. EXCEL SYSTEM ARCHITECTURE  </w:t>
      </w:r>
    </w:p>
    <w:p>
      <w:pPr>
        <w:spacing w:before="40" w:after="80"/>
        <w:ind w:firstLine="0"/>
      </w:pPr>
      <w:r>
        <w:rPr>
          <w:rFonts w:ascii="Calibri" w:hAnsi="Calibri"/>
          <w:color w:val="2C3E50"/>
          <w:sz w:val="21"/>
        </w:rPr>
        <w:t>The workbook follows a layered architecture principle: each sheet has a single responsibility, and data flows in one direction — from input through calculation to output. No value is duplicated across sheets; all downstream calculations reference upstream sources via formulas.</w:t>
      </w:r>
    </w:p>
    <w:tbl>
      <w:tblPr>
        <w:tblStyle w:val="TableGrid"/>
        <w:tblW w:type="auto" w:w="0"/>
        <w:jc w:val="center"/>
        <w:tblLook w:firstColumn="1" w:firstRow="1" w:lastColumn="0" w:lastRow="0" w:noHBand="0" w:noVBand="1" w:val="04A0"/>
      </w:tblPr>
      <w:tblGrid>
        <w:gridCol w:w="3135"/>
        <w:gridCol w:w="3135"/>
        <w:gridCol w:w="3135"/>
      </w:tblGrid>
      <w:tr>
        <w:tc>
          <w:tcPr>
            <w:tcW w:type="dxa" w:w="3135"/>
            <w:shd w:val="clear" w:color="auto" w:fill="263C6F"/>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Layer</w:t>
            </w:r>
          </w:p>
        </w:tc>
        <w:tc>
          <w:tcPr>
            <w:tcW w:type="dxa" w:w="3135"/>
            <w:shd w:val="clear" w:color="auto" w:fill="263C6F"/>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Sheet</w:t>
            </w:r>
          </w:p>
        </w:tc>
        <w:tc>
          <w:tcPr>
            <w:tcW w:type="dxa" w:w="3135"/>
            <w:shd w:val="clear" w:color="auto" w:fill="263C6F"/>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Role</w:t>
            </w:r>
          </w:p>
        </w:tc>
      </w:tr>
      <w:tr>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Input</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PRODUCTS</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Master product data with FX-adjusted FOB prices</w:t>
            </w:r>
          </w:p>
        </w:tc>
      </w:tr>
      <w:tr>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Configuration</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IMPORT_COST_PARAMETERS</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All global rates — single-change propagation</w:t>
            </w:r>
          </w:p>
        </w:tc>
      </w:tr>
      <w:tr>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Configuration</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FX_RATES</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Exchange rates for all sourcing currencies</w:t>
            </w:r>
          </w:p>
        </w:tc>
      </w:tr>
      <w:tr>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Configuration</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SHIPMENT_ASSUMPTIONS</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Fixed cost allocation and multi-product shipment model</w:t>
            </w:r>
          </w:p>
        </w:tc>
      </w:tr>
      <w:tr>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Calculation</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IMPORT_CALCULATOR</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Core 13-column landed cost engine</w:t>
            </w:r>
          </w:p>
        </w:tc>
      </w:tr>
      <w:tr>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Output</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PRICING_ENGINE</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Sale price, gross profit, margin calculations</w:t>
            </w:r>
          </w:p>
        </w:tc>
      </w:tr>
      <w:tr>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Analysis</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SCENARIO_ANALYSIS</w:t>
            </w:r>
          </w:p>
        </w:tc>
        <w:tc>
          <w:tcPr>
            <w:tcW w:type="dxa" w:w="3135"/>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3-scenario what-if model for all 10 products</w:t>
            </w:r>
          </w:p>
        </w:tc>
      </w:tr>
      <w:tr>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Reporting</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DASHBOARD</w:t>
            </w:r>
          </w:p>
        </w:tc>
        <w:tc>
          <w:tcPr>
            <w:tcW w:type="dxa" w:w="3135"/>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Executive KPIs, charts, top products, cost drivers</w:t>
            </w:r>
          </w:p>
        </w:tc>
      </w:tr>
    </w:tbl>
    <w:p/>
    <w:p>
      <w:pPr>
        <w:spacing w:before="280" w:after="80"/>
        <w:shd w:val="clear" w:color="auto" w:fill="1F2D54"/>
      </w:pPr>
      <w:r>
        <w:rPr>
          <w:rFonts w:ascii="Calibri" w:hAnsi="Calibri"/>
          <w:b/>
          <w:color w:val="FFFFFF"/>
          <w:sz w:val="24"/>
        </w:rPr>
        <w:t xml:space="preserve">  5. AUTOMATION LOGIC  </w:t>
      </w:r>
    </w:p>
    <w:p>
      <w:pPr>
        <w:spacing w:before="40" w:after="80"/>
        <w:ind w:firstLine="0"/>
      </w:pPr>
      <w:r>
        <w:rPr>
          <w:rFonts w:ascii="Calibri" w:hAnsi="Calibri"/>
          <w:color w:val="2C3E50"/>
          <w:sz w:val="21"/>
        </w:rPr>
        <w:t>The automation is achieved through three complementary mechanisms that together create a zero-maintenance, single-source-of-truth calculation engine:</w:t>
      </w:r>
    </w:p>
    <w:p>
      <w:pPr>
        <w:spacing w:before="160" w:after="40"/>
      </w:pPr>
      <w:r>
        <w:rPr>
          <w:rFonts w:ascii="Calibri" w:hAnsi="Calibri"/>
          <w:b/>
          <w:color w:val="1F2D54"/>
          <w:sz w:val="22"/>
        </w:rPr>
        <w:t>▶  Centralized Parameter Control</w:t>
      </w:r>
    </w:p>
    <w:p>
      <w:pPr>
        <w:spacing w:before="40" w:after="80"/>
        <w:ind w:firstLine="0"/>
      </w:pPr>
      <w:r>
        <w:rPr>
          <w:rFonts w:ascii="Calibri" w:hAnsi="Calibri"/>
          <w:color w:val="2C3E50"/>
          <w:sz w:val="21"/>
        </w:rPr>
        <w:t>Seven rate parameters (freight, insurance, duty, VAT, port handling, clearance fixed, and target margin) are stored in one sheet. All 80+ formulas across the workbook reference these cells using absolute addressing. A rate change in one cell updates the entire model instantly.</w:t>
      </w:r>
    </w:p>
    <w:p>
      <w:pPr>
        <w:spacing w:before="160" w:after="40"/>
      </w:pPr>
      <w:r>
        <w:rPr>
          <w:rFonts w:ascii="Calibri" w:hAnsi="Calibri"/>
          <w:b/>
          <w:color w:val="1F2D54"/>
          <w:sz w:val="22"/>
        </w:rPr>
        <w:t>▶  VLOOKUP-Driven FX Conversion</w:t>
      </w:r>
    </w:p>
    <w:p>
      <w:pPr>
        <w:spacing w:before="40" w:after="80"/>
        <w:ind w:firstLine="0"/>
      </w:pPr>
      <w:r>
        <w:rPr>
          <w:rFonts w:ascii="Calibri" w:hAnsi="Calibri"/>
          <w:color w:val="2C3E50"/>
          <w:sz w:val="21"/>
        </w:rPr>
        <w:t>Each product's FOB currency is looked up against the FX_RATES table to return the USD conversion rate. The formula =FOB_Local × VLOOKUP(Currency, FX_RATES, 2, 0) in the PRODUCTS sheet ensures all downstream calculations use accurate, currency-adjusted FOB values.</w:t>
      </w:r>
    </w:p>
    <w:p>
      <w:pPr>
        <w:spacing w:before="160" w:after="40"/>
      </w:pPr>
      <w:r>
        <w:rPr>
          <w:rFonts w:ascii="Calibri" w:hAnsi="Calibri"/>
          <w:b/>
          <w:color w:val="1F2D54"/>
          <w:sz w:val="22"/>
        </w:rPr>
        <w:t>▶  Proportional Fixed Cost Allocation</w:t>
      </w:r>
    </w:p>
    <w:p>
      <w:pPr>
        <w:spacing w:before="40" w:after="80"/>
        <w:ind w:firstLine="0"/>
      </w:pPr>
      <w:r>
        <w:rPr>
          <w:rFonts w:ascii="Calibri" w:hAnsi="Calibri"/>
          <w:color w:val="2C3E50"/>
          <w:sz w:val="21"/>
        </w:rPr>
        <w:t>The SHIPMENT_ASSUMPTIONS engine divides total shipment customs clearance ($450) across all products proportionally based on unit volume. High-volume products absorb more fixed cost than low-volume ones, producing accurate per-unit economics for the full portfolio.</w:t>
      </w:r>
    </w:p>
    <w:p>
      <w:pPr>
        <w:spacing w:before="280" w:after="80"/>
        <w:shd w:val="clear" w:color="auto" w:fill="1F2D54"/>
      </w:pPr>
      <w:r>
        <w:rPr>
          <w:rFonts w:ascii="Calibri" w:hAnsi="Calibri"/>
          <w:b/>
          <w:color w:val="FFFFFF"/>
          <w:sz w:val="24"/>
        </w:rPr>
        <w:t xml:space="preserve">  6. ADVANCED MODELING FEATURES  </w:t>
      </w:r>
    </w:p>
    <w:tbl>
      <w:tblPr>
        <w:tblStyle w:val="TableGrid"/>
        <w:tblW w:type="auto" w:w="0"/>
        <w:jc w:val="center"/>
        <w:tblLook w:firstColumn="1" w:firstRow="1" w:lastColumn="0" w:lastRow="0" w:noHBand="0" w:noVBand="1" w:val="04A0"/>
      </w:tblPr>
      <w:tblGrid>
        <w:gridCol w:w="2268"/>
        <w:gridCol w:w="6803"/>
      </w:tblGrid>
      <w:tr>
        <w:trPr>
          <w:trHeight w:val="567" w:hRule="exact"/>
        </w:trPr>
        <w:tc>
          <w:tcPr>
            <w:tcW w:type="dxa" w:w="4703"/>
            <w:shd w:val="clear" w:color="auto" w:fill="1F2D54"/>
            <w:vAlign w:val="center"/>
          </w:tcPr>
          <w:p>
            <w:pPr>
              <w:jc w:val="center"/>
            </w:pPr>
            <w:r>
              <w:rPr>
                <w:rFonts w:ascii="Calibri" w:hAnsi="Calibri"/>
                <w:b/>
                <w:color w:val="FFFFFF"/>
                <w:sz w:val="20"/>
              </w:rPr>
              <w:t>Currency Conversion Layer</w:t>
            </w:r>
          </w:p>
        </w:tc>
        <w:tc>
          <w:tcPr>
            <w:tcW w:type="dxa" w:w="4703"/>
            <w:shd w:val="clear" w:color="auto" w:fill="EEF3FB"/>
            <w:vAlign w:val="center"/>
          </w:tcPr>
          <w:p>
            <w:r>
              <w:rPr>
                <w:rFonts w:ascii="Calibri" w:hAnsi="Calibri"/>
                <w:color w:val="2C3E50"/>
                <w:sz w:val="20"/>
              </w:rPr>
              <w:t>Automatic FOB conversion from EUR, AED, INR to USD via VLOOKUP on FX_RATES table. Updating a single exchange rate instantly updates all affected product costs.</w:t>
            </w:r>
          </w:p>
        </w:tc>
      </w:tr>
    </w:tbl>
    <w:p/>
    <w:tbl>
      <w:tblPr>
        <w:tblStyle w:val="TableGrid"/>
        <w:tblW w:type="auto" w:w="0"/>
        <w:jc w:val="center"/>
        <w:tblLook w:firstColumn="1" w:firstRow="1" w:lastColumn="0" w:lastRow="0" w:noHBand="0" w:noVBand="1" w:val="04A0"/>
      </w:tblPr>
      <w:tblGrid>
        <w:gridCol w:w="2268"/>
        <w:gridCol w:w="6803"/>
      </w:tblGrid>
      <w:tr>
        <w:trPr>
          <w:trHeight w:val="567" w:hRule="exact"/>
        </w:trPr>
        <w:tc>
          <w:tcPr>
            <w:tcW w:type="dxa" w:w="4703"/>
            <w:shd w:val="clear" w:color="auto" w:fill="1F2D54"/>
            <w:vAlign w:val="center"/>
          </w:tcPr>
          <w:p>
            <w:pPr>
              <w:jc w:val="center"/>
            </w:pPr>
            <w:r>
              <w:rPr>
                <w:rFonts w:ascii="Calibri" w:hAnsi="Calibri"/>
                <w:b/>
                <w:color w:val="FFFFFF"/>
                <w:sz w:val="20"/>
              </w:rPr>
              <w:t>Multi-Product Shipment Allocation</w:t>
            </w:r>
          </w:p>
        </w:tc>
        <w:tc>
          <w:tcPr>
            <w:tcW w:type="dxa" w:w="4703"/>
            <w:shd w:val="clear" w:color="auto" w:fill="EEF3FB"/>
            <w:vAlign w:val="center"/>
          </w:tcPr>
          <w:p>
            <w:r>
              <w:rPr>
                <w:rFonts w:ascii="Calibri" w:hAnsi="Calibri"/>
                <w:color w:val="2C3E50"/>
                <w:sz w:val="20"/>
              </w:rPr>
              <w:t>Fixed customs clearance cost distributed proportionally across all products based on shipment share %. Ensures per-unit costs reflect actual fixed cost burden.</w:t>
            </w:r>
          </w:p>
        </w:tc>
      </w:tr>
    </w:tbl>
    <w:p/>
    <w:tbl>
      <w:tblPr>
        <w:tblStyle w:val="TableGrid"/>
        <w:tblW w:type="auto" w:w="0"/>
        <w:jc w:val="center"/>
        <w:tblLook w:firstColumn="1" w:firstRow="1" w:lastColumn="0" w:lastRow="0" w:noHBand="0" w:noVBand="1" w:val="04A0"/>
      </w:tblPr>
      <w:tblGrid>
        <w:gridCol w:w="2268"/>
        <w:gridCol w:w="6803"/>
      </w:tblGrid>
      <w:tr>
        <w:trPr>
          <w:trHeight w:val="567" w:hRule="exact"/>
        </w:trPr>
        <w:tc>
          <w:tcPr>
            <w:tcW w:type="dxa" w:w="4703"/>
            <w:shd w:val="clear" w:color="auto" w:fill="1F2D54"/>
            <w:vAlign w:val="center"/>
          </w:tcPr>
          <w:p>
            <w:pPr>
              <w:jc w:val="center"/>
            </w:pPr>
            <w:r>
              <w:rPr>
                <w:rFonts w:ascii="Calibri" w:hAnsi="Calibri"/>
                <w:b/>
                <w:color w:val="FFFFFF"/>
                <w:sz w:val="20"/>
              </w:rPr>
              <w:t>Scenario Analysis Engine</w:t>
            </w:r>
          </w:p>
        </w:tc>
        <w:tc>
          <w:tcPr>
            <w:tcW w:type="dxa" w:w="4703"/>
            <w:shd w:val="clear" w:color="auto" w:fill="EEF3FB"/>
            <w:vAlign w:val="center"/>
          </w:tcPr>
          <w:p>
            <w:r>
              <w:rPr>
                <w:rFonts w:ascii="Calibri" w:hAnsi="Calibri"/>
                <w:color w:val="2C3E50"/>
                <w:sz w:val="20"/>
              </w:rPr>
              <w:t>Three pre-built scenarios (Base, High Freight +67%, High Duty ×2) calculate the full landed cost and sale price impact for all 10 products with delta comparison vs. base.</w:t>
            </w:r>
          </w:p>
        </w:tc>
      </w:tr>
    </w:tbl>
    <w:p/>
    <w:tbl>
      <w:tblPr>
        <w:tblStyle w:val="TableGrid"/>
        <w:tblW w:type="auto" w:w="0"/>
        <w:jc w:val="center"/>
        <w:tblLook w:firstColumn="1" w:firstRow="1" w:lastColumn="0" w:lastRow="0" w:noHBand="0" w:noVBand="1" w:val="04A0"/>
      </w:tblPr>
      <w:tblGrid>
        <w:gridCol w:w="2268"/>
        <w:gridCol w:w="6803"/>
      </w:tblGrid>
      <w:tr>
        <w:trPr>
          <w:trHeight w:val="567" w:hRule="exact"/>
        </w:trPr>
        <w:tc>
          <w:tcPr>
            <w:tcW w:type="dxa" w:w="4703"/>
            <w:shd w:val="clear" w:color="auto" w:fill="1F2D54"/>
            <w:vAlign w:val="center"/>
          </w:tcPr>
          <w:p>
            <w:pPr>
              <w:jc w:val="center"/>
            </w:pPr>
            <w:r>
              <w:rPr>
                <w:rFonts w:ascii="Calibri" w:hAnsi="Calibri"/>
                <w:b/>
                <w:color w:val="FFFFFF"/>
                <w:sz w:val="20"/>
              </w:rPr>
              <w:t>Dynamic Dashboard</w:t>
            </w:r>
          </w:p>
        </w:tc>
        <w:tc>
          <w:tcPr>
            <w:tcW w:type="dxa" w:w="4703"/>
            <w:shd w:val="clear" w:color="auto" w:fill="EEF3FB"/>
            <w:vAlign w:val="center"/>
          </w:tcPr>
          <w:p>
            <w:r>
              <w:rPr>
                <w:rFonts w:ascii="Calibri" w:hAnsi="Calibri"/>
                <w:color w:val="2C3E50"/>
                <w:sz w:val="20"/>
              </w:rPr>
              <w:t>11 KPI cards, 3 professional charts, Top 3 expensive products, 8 cost driver tiles, and a scenario impact strip — all updating automatically when source data changes.</w:t>
            </w:r>
          </w:p>
        </w:tc>
      </w:tr>
    </w:tbl>
    <w:p/>
    <w:tbl>
      <w:tblPr>
        <w:tblStyle w:val="TableGrid"/>
        <w:tblW w:type="auto" w:w="0"/>
        <w:jc w:val="center"/>
        <w:tblLook w:firstColumn="1" w:firstRow="1" w:lastColumn="0" w:lastRow="0" w:noHBand="0" w:noVBand="1" w:val="04A0"/>
      </w:tblPr>
      <w:tblGrid>
        <w:gridCol w:w="2268"/>
        <w:gridCol w:w="6803"/>
      </w:tblGrid>
      <w:tr>
        <w:trPr>
          <w:trHeight w:val="567" w:hRule="exact"/>
        </w:trPr>
        <w:tc>
          <w:tcPr>
            <w:tcW w:type="dxa" w:w="4703"/>
            <w:shd w:val="clear" w:color="auto" w:fill="1F2D54"/>
            <w:vAlign w:val="center"/>
          </w:tcPr>
          <w:p>
            <w:pPr>
              <w:jc w:val="center"/>
            </w:pPr>
            <w:r>
              <w:rPr>
                <w:rFonts w:ascii="Calibri" w:hAnsi="Calibri"/>
                <w:b/>
                <w:color w:val="FFFFFF"/>
                <w:sz w:val="20"/>
              </w:rPr>
              <w:t>Cross-Sheet Formula Chain</w:t>
            </w:r>
          </w:p>
        </w:tc>
        <w:tc>
          <w:tcPr>
            <w:tcW w:type="dxa" w:w="4703"/>
            <w:shd w:val="clear" w:color="auto" w:fill="EEF3FB"/>
            <w:vAlign w:val="center"/>
          </w:tcPr>
          <w:p>
            <w:r>
              <w:rPr>
                <w:rFonts w:ascii="Calibri" w:hAnsi="Calibri"/>
                <w:color w:val="2C3E50"/>
                <w:sz w:val="20"/>
              </w:rPr>
              <w:t>Strict data flow: FX_RATES → PRODUCTS → SHIPMENT_ASSUMPTIONS → IMPORT_CALCULATOR → PRICING_ENGINE → DASHBOARD. No hard-coded values outside source sheets.</w:t>
            </w:r>
          </w:p>
        </w:tc>
      </w:tr>
    </w:tbl>
    <w:p/>
    <w:p>
      <w:pPr>
        <w:spacing w:before="280" w:after="80"/>
        <w:shd w:val="clear" w:color="auto" w:fill="1F2D54"/>
      </w:pPr>
      <w:r>
        <w:rPr>
          <w:rFonts w:ascii="Calibri" w:hAnsi="Calibri"/>
          <w:b/>
          <w:color w:val="FFFFFF"/>
          <w:sz w:val="24"/>
        </w:rPr>
        <w:t xml:space="preserve">  7. DASHBOARD OVERVIEW  </w:t>
      </w:r>
    </w:p>
    <w:p>
      <w:pPr>
        <w:spacing w:before="40" w:after="80"/>
        <w:ind w:firstLine="0"/>
      </w:pPr>
      <w:r>
        <w:rPr>
          <w:rFonts w:ascii="Calibri" w:hAnsi="Calibri"/>
          <w:color w:val="2C3E50"/>
          <w:sz w:val="21"/>
        </w:rPr>
        <w:t>The Executive Dashboard provides a comprehensive, single-screen view of import cost performance across the product portfolio. It is structured in five visual layers:</w:t>
      </w:r>
    </w:p>
    <w:p>
      <w:pPr>
        <w:pStyle w:val="ListBullet"/>
        <w:spacing w:before="20" w:after="20"/>
      </w:pPr>
      <w:r>
        <w:rPr>
          <w:rFonts w:ascii="Calibri" w:hAnsi="Calibri"/>
          <w:color w:val="2C3E50"/>
          <w:sz w:val="21"/>
        </w:rPr>
        <w:t>KPI Row 1: Avg Landed Cost · Avg Sale Price · Target Margin · Total Products · Total Portfolio Landed · Avg Markup</w:t>
      </w:r>
    </w:p>
    <w:p>
      <w:pPr>
        <w:pStyle w:val="ListBullet"/>
        <w:spacing w:before="20" w:after="20"/>
      </w:pPr>
      <w:r>
        <w:rPr>
          <w:rFonts w:ascii="Calibri" w:hAnsi="Calibri"/>
          <w:color w:val="2C3E50"/>
          <w:sz w:val="21"/>
        </w:rPr>
        <w:t>KPI Row 2: Most Expensive Product · Max Landed Cost · Min Landed Cost · Top Margin Product</w:t>
      </w:r>
    </w:p>
    <w:p>
      <w:pPr>
        <w:pStyle w:val="ListBullet"/>
        <w:spacing w:before="20" w:after="20"/>
      </w:pPr>
      <w:r>
        <w:rPr>
          <w:rFonts w:ascii="Calibri" w:hAnsi="Calibri"/>
          <w:color w:val="2C3E50"/>
          <w:sz w:val="21"/>
        </w:rPr>
        <w:t>Chart 1: Clustered Bar — Landed Cost vs Sale Price per product (margin gap visualisation)</w:t>
      </w:r>
    </w:p>
    <w:p>
      <w:pPr>
        <w:pStyle w:val="ListBullet"/>
        <w:spacing w:before="20" w:after="20"/>
      </w:pPr>
      <w:r>
        <w:rPr>
          <w:rFonts w:ascii="Calibri" w:hAnsi="Calibri"/>
          <w:color w:val="2C3E50"/>
          <w:sz w:val="21"/>
        </w:rPr>
        <w:t>Chart 2: Stacked Bar — Cost component breakdown (FOB, Freight, Insurance, Duty, VAT, Port, Clearance)</w:t>
      </w:r>
    </w:p>
    <w:p>
      <w:pPr>
        <w:pStyle w:val="ListBullet"/>
        <w:spacing w:before="20" w:after="20"/>
      </w:pPr>
      <w:r>
        <w:rPr>
          <w:rFonts w:ascii="Calibri" w:hAnsi="Calibri"/>
          <w:color w:val="2C3E50"/>
          <w:sz w:val="21"/>
        </w:rPr>
        <w:t>Chart 3: Column Chart — Gross Profit per product</w:t>
      </w:r>
    </w:p>
    <w:p>
      <w:pPr>
        <w:pStyle w:val="ListBullet"/>
        <w:spacing w:before="20" w:after="20"/>
      </w:pPr>
      <w:r>
        <w:rPr>
          <w:rFonts w:ascii="Calibri" w:hAnsi="Calibri"/>
          <w:color w:val="2C3E50"/>
          <w:sz w:val="21"/>
        </w:rPr>
        <w:t>Top 3 Panel: Most expensive products by landed cost with sale price and cost driver label</w:t>
      </w:r>
    </w:p>
    <w:p>
      <w:pPr>
        <w:pStyle w:val="ListBullet"/>
        <w:spacing w:before="20" w:after="20"/>
      </w:pPr>
      <w:r>
        <w:rPr>
          <w:rFonts w:ascii="Calibri" w:hAnsi="Calibri"/>
          <w:color w:val="2C3E50"/>
          <w:sz w:val="21"/>
        </w:rPr>
        <w:t>Cost Drivers Strip: 8 KPI tiles showing average per-component cost across the portfolio</w:t>
      </w:r>
    </w:p>
    <w:p>
      <w:pPr>
        <w:pStyle w:val="ListBullet"/>
        <w:spacing w:before="20" w:after="20"/>
      </w:pPr>
      <w:r>
        <w:rPr>
          <w:rFonts w:ascii="Calibri" w:hAnsi="Calibri"/>
          <w:color w:val="2C3E50"/>
          <w:sz w:val="21"/>
        </w:rPr>
        <w:t>Scenario Impact Strip: Side-by-side comparison of Base vs High Freight vs High Duty scenarios</w:t>
      </w:r>
    </w:p>
    <w:p>
      <w:pPr>
        <w:spacing w:before="280" w:after="80"/>
        <w:shd w:val="clear" w:color="auto" w:fill="1F2D54"/>
      </w:pPr>
      <w:r>
        <w:rPr>
          <w:rFonts w:ascii="Calibri" w:hAnsi="Calibri"/>
          <w:b/>
          <w:color w:val="FFFFFF"/>
          <w:sz w:val="24"/>
        </w:rPr>
        <w:t xml:space="preserve">  8. BUSINESS IMPACT  </w:t>
      </w:r>
    </w:p>
    <w:p>
      <w:pPr>
        <w:spacing w:before="40" w:after="80"/>
        <w:ind w:firstLine="0"/>
      </w:pPr>
      <w:r>
        <w:rPr>
          <w:rFonts w:ascii="Calibri" w:hAnsi="Calibri"/>
          <w:color w:val="2C3E50"/>
          <w:sz w:val="21"/>
        </w:rPr>
        <w:t>The delivered system transforms the client's import cost management workflow from a manual, error-prone process into an automated, decision-ready analytics engine:</w:t>
      </w:r>
    </w:p>
    <w:tbl>
      <w:tblPr>
        <w:tblStyle w:val="TableGrid"/>
        <w:tblW w:type="auto" w:w="0"/>
        <w:jc w:val="center"/>
        <w:tblLook w:firstColumn="1" w:firstRow="1" w:lastColumn="0" w:lastRow="0" w:noHBand="0" w:noVBand="1" w:val="04A0"/>
      </w:tblPr>
      <w:tblGrid>
        <w:gridCol w:w="2351"/>
        <w:gridCol w:w="2351"/>
        <w:gridCol w:w="2351"/>
        <w:gridCol w:w="2351"/>
      </w:tblGrid>
      <w:tr>
        <w:tc>
          <w:tcPr>
            <w:tcW w:type="dxa" w:w="2351"/>
            <w:shd w:val="clear" w:color="auto" w:fill="27AE60"/>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Capability</w:t>
            </w:r>
          </w:p>
        </w:tc>
        <w:tc>
          <w:tcPr>
            <w:tcW w:type="dxa" w:w="2351"/>
            <w:shd w:val="clear" w:color="auto" w:fill="27AE60"/>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Before</w:t>
            </w:r>
          </w:p>
        </w:tc>
        <w:tc>
          <w:tcPr>
            <w:tcW w:type="dxa" w:w="2351"/>
            <w:shd w:val="clear" w:color="auto" w:fill="27AE60"/>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After</w:t>
            </w:r>
          </w:p>
        </w:tc>
        <w:tc>
          <w:tcPr>
            <w:tcW w:type="dxa" w:w="2351"/>
            <w:shd w:val="clear" w:color="auto" w:fill="27AE60"/>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Impact</w:t>
            </w:r>
          </w:p>
        </w:tc>
      </w:tr>
      <w:tr>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Calculation Speed</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30–60 min/product</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&lt; 1 second</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3,600× faster</w:t>
            </w:r>
          </w:p>
        </w:tc>
      </w:tr>
      <w:tr>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Currency Accuracy</w:t>
            </w:r>
          </w:p>
        </w:tc>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Manual conversion</w:t>
            </w:r>
          </w:p>
        </w:tc>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Auto FX lookup</w:t>
            </w:r>
          </w:p>
        </w:tc>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100% accuracy</w:t>
            </w:r>
          </w:p>
        </w:tc>
      </w:tr>
      <w:tr>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Fixed Cost Alloc.</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Not allocated</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Proportional per unit</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True unit economics</w:t>
            </w:r>
          </w:p>
        </w:tc>
      </w:tr>
      <w:tr>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Scenario Modeling</w:t>
            </w:r>
          </w:p>
        </w:tc>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No capability</w:t>
            </w:r>
          </w:p>
        </w:tc>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3 scenarios × 10 products</w:t>
            </w:r>
          </w:p>
        </w:tc>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Risk-proof decisions</w:t>
            </w:r>
          </w:p>
        </w:tc>
      </w:tr>
      <w:tr>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Rate Changes</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Full manual rebuild</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1 cell → instant update</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Zero rework time</w:t>
            </w:r>
          </w:p>
        </w:tc>
      </w:tr>
      <w:tr>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Dashboard Insight</w:t>
            </w:r>
          </w:p>
        </w:tc>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Basic totals</w:t>
            </w:r>
          </w:p>
        </w:tc>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11 KPIs + 3 charts</w:t>
            </w:r>
          </w:p>
        </w:tc>
        <w:tc>
          <w:tcPr>
            <w:tcW w:type="dxa" w:w="2351"/>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Executive-ready</w:t>
            </w:r>
          </w:p>
        </w:tc>
      </w:tr>
      <w:tr>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Error Risk</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High (manual entry)</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Zero (locked formulas)</w:t>
            </w:r>
          </w:p>
        </w:tc>
        <w:tc>
          <w:tcPr>
            <w:tcW w:type="dxa" w:w="2351"/>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Audit-proof</w:t>
            </w:r>
          </w:p>
        </w:tc>
      </w:tr>
    </w:tbl>
    <w:p/>
    <w:p>
      <w:pPr>
        <w:spacing w:before="280" w:after="80"/>
        <w:shd w:val="clear" w:color="auto" w:fill="1F2D54"/>
      </w:pPr>
      <w:r>
        <w:rPr>
          <w:rFonts w:ascii="Calibri" w:hAnsi="Calibri"/>
          <w:b/>
          <w:color w:val="FFFFFF"/>
          <w:sz w:val="24"/>
        </w:rPr>
        <w:t xml:space="preserve">  9. KEY SKILLS DEMONSTRATED  </w:t>
      </w:r>
    </w:p>
    <w:p>
      <w:pPr>
        <w:spacing w:before="160" w:after="40"/>
      </w:pPr>
      <w:r>
        <w:rPr>
          <w:rFonts w:ascii="Calibri" w:hAnsi="Calibri"/>
          <w:b/>
          <w:color w:val="1F2D54"/>
          <w:sz w:val="22"/>
        </w:rPr>
        <w:t>▶  Financial Modeling</w:t>
      </w:r>
    </w:p>
    <w:p>
      <w:pPr>
        <w:pStyle w:val="ListBullet"/>
        <w:spacing w:before="20" w:after="20"/>
      </w:pPr>
      <w:r>
        <w:rPr>
          <w:rFonts w:ascii="Calibri" w:hAnsi="Calibri"/>
          <w:color w:val="2C3E50"/>
          <w:sz w:val="21"/>
        </w:rPr>
        <w:t>Landed cost calculation (FOB → CIF → Duty → VAT → Port → Clearance)</w:t>
      </w:r>
    </w:p>
    <w:p>
      <w:pPr>
        <w:pStyle w:val="ListBullet"/>
        <w:spacing w:before="20" w:after="20"/>
      </w:pPr>
      <w:r>
        <w:rPr>
          <w:rFonts w:ascii="Calibri" w:hAnsi="Calibri"/>
          <w:color w:val="2C3E50"/>
          <w:sz w:val="21"/>
        </w:rPr>
        <w:t>Margin-based pricing engine (Sale Price = LC ÷ (1 − Margin))</w:t>
      </w:r>
    </w:p>
    <w:p>
      <w:pPr>
        <w:pStyle w:val="ListBullet"/>
        <w:spacing w:before="20" w:after="20"/>
      </w:pPr>
      <w:r>
        <w:rPr>
          <w:rFonts w:ascii="Calibri" w:hAnsi="Calibri"/>
          <w:color w:val="2C3E50"/>
          <w:sz w:val="21"/>
        </w:rPr>
        <w:t>What-if scenario analysis for freight and duty rate changes</w:t>
      </w:r>
    </w:p>
    <w:p>
      <w:pPr>
        <w:spacing w:before="160" w:after="40"/>
      </w:pPr>
      <w:r>
        <w:rPr>
          <w:rFonts w:ascii="Calibri" w:hAnsi="Calibri"/>
          <w:b/>
          <w:color w:val="1F2D54"/>
          <w:sz w:val="22"/>
        </w:rPr>
        <w:t>▶  Excel Advanced Techniques</w:t>
      </w:r>
    </w:p>
    <w:p>
      <w:pPr>
        <w:pStyle w:val="ListBullet"/>
        <w:spacing w:before="20" w:after="20"/>
      </w:pPr>
      <w:r>
        <w:rPr>
          <w:rFonts w:ascii="Calibri" w:hAnsi="Calibri"/>
          <w:color w:val="2C3E50"/>
          <w:sz w:val="21"/>
        </w:rPr>
        <w:t>Structured tables (ListObjects) with auto-extending formulas</w:t>
      </w:r>
    </w:p>
    <w:p>
      <w:pPr>
        <w:pStyle w:val="ListBullet"/>
        <w:spacing w:before="20" w:after="20"/>
      </w:pPr>
      <w:r>
        <w:rPr>
          <w:rFonts w:ascii="Calibri" w:hAnsi="Calibri"/>
          <w:color w:val="2C3E50"/>
          <w:sz w:val="21"/>
        </w:rPr>
        <w:t>VLOOKUP for FX conversion and dynamic data lookups</w:t>
      </w:r>
    </w:p>
    <w:p>
      <w:pPr>
        <w:pStyle w:val="ListBullet"/>
        <w:spacing w:before="20" w:after="20"/>
      </w:pPr>
      <w:r>
        <w:rPr>
          <w:rFonts w:ascii="Calibri" w:hAnsi="Calibri"/>
          <w:color w:val="2C3E50"/>
          <w:sz w:val="21"/>
        </w:rPr>
        <w:t>INDEX/MATCH for dynamic product identification in dashboard</w:t>
      </w:r>
    </w:p>
    <w:p>
      <w:pPr>
        <w:pStyle w:val="ListBullet"/>
        <w:spacing w:before="20" w:after="20"/>
      </w:pPr>
      <w:r>
        <w:rPr>
          <w:rFonts w:ascii="Calibri" w:hAnsi="Calibri"/>
          <w:color w:val="2C3E50"/>
          <w:sz w:val="21"/>
        </w:rPr>
        <w:t>LARGE/SMALL functions for Top 3 ranking</w:t>
      </w:r>
    </w:p>
    <w:p>
      <w:pPr>
        <w:pStyle w:val="ListBullet"/>
        <w:spacing w:before="20" w:after="20"/>
      </w:pPr>
      <w:r>
        <w:rPr>
          <w:rFonts w:ascii="Calibri" w:hAnsi="Calibri"/>
          <w:color w:val="2C3E50"/>
          <w:sz w:val="21"/>
        </w:rPr>
        <w:t>Absolute vs relative referencing for cross-sheet formula chains</w:t>
      </w:r>
    </w:p>
    <w:p>
      <w:pPr>
        <w:spacing w:before="160" w:after="40"/>
      </w:pPr>
      <w:r>
        <w:rPr>
          <w:rFonts w:ascii="Calibri" w:hAnsi="Calibri"/>
          <w:b/>
          <w:color w:val="1F2D54"/>
          <w:sz w:val="22"/>
        </w:rPr>
        <w:t>▶  Data Architecture &amp; Design</w:t>
      </w:r>
    </w:p>
    <w:p>
      <w:pPr>
        <w:pStyle w:val="ListBullet"/>
        <w:spacing w:before="20" w:after="20"/>
      </w:pPr>
      <w:r>
        <w:rPr>
          <w:rFonts w:ascii="Calibri" w:hAnsi="Calibri"/>
          <w:color w:val="2C3E50"/>
          <w:sz w:val="21"/>
        </w:rPr>
        <w:t>8-sheet layered architecture with strict data flow</w:t>
      </w:r>
    </w:p>
    <w:p>
      <w:pPr>
        <w:pStyle w:val="ListBullet"/>
        <w:spacing w:before="20" w:after="20"/>
      </w:pPr>
      <w:r>
        <w:rPr>
          <w:rFonts w:ascii="Calibri" w:hAnsi="Calibri"/>
          <w:color w:val="2C3E50"/>
          <w:sz w:val="21"/>
        </w:rPr>
        <w:t>Single source of truth principle — no duplicated values</w:t>
      </w:r>
    </w:p>
    <w:p>
      <w:pPr>
        <w:pStyle w:val="ListBullet"/>
        <w:spacing w:before="20" w:after="20"/>
      </w:pPr>
      <w:r>
        <w:rPr>
          <w:rFonts w:ascii="Calibri" w:hAnsi="Calibri"/>
          <w:color w:val="2C3E50"/>
          <w:sz w:val="21"/>
        </w:rPr>
        <w:t>Separation of configuration, calculation, and reporting layers</w:t>
      </w:r>
    </w:p>
    <w:p>
      <w:pPr>
        <w:spacing w:before="160" w:after="40"/>
      </w:pPr>
      <w:r>
        <w:rPr>
          <w:rFonts w:ascii="Calibri" w:hAnsi="Calibri"/>
          <w:b/>
          <w:color w:val="1F2D54"/>
          <w:sz w:val="22"/>
        </w:rPr>
        <w:t>▶  Business Intelligence &amp; Reporting</w:t>
      </w:r>
    </w:p>
    <w:p>
      <w:pPr>
        <w:pStyle w:val="ListBullet"/>
        <w:spacing w:before="20" w:after="20"/>
      </w:pPr>
      <w:r>
        <w:rPr>
          <w:rFonts w:ascii="Calibri" w:hAnsi="Calibri"/>
          <w:color w:val="2C3E50"/>
          <w:sz w:val="21"/>
        </w:rPr>
        <w:t>Executive dashboard design with KPI cards and professional charts</w:t>
      </w:r>
    </w:p>
    <w:p>
      <w:pPr>
        <w:pStyle w:val="ListBullet"/>
        <w:spacing w:before="20" w:after="20"/>
      </w:pPr>
      <w:r>
        <w:rPr>
          <w:rFonts w:ascii="Calibri" w:hAnsi="Calibri"/>
          <w:color w:val="2C3E50"/>
          <w:sz w:val="21"/>
        </w:rPr>
        <w:t>Cost driver breakdown and scenario impact visualisation</w:t>
      </w:r>
    </w:p>
    <w:p>
      <w:pPr>
        <w:pStyle w:val="ListBullet"/>
        <w:spacing w:before="20" w:after="20"/>
      </w:pPr>
      <w:r>
        <w:rPr>
          <w:rFonts w:ascii="Calibri" w:hAnsi="Calibri"/>
          <w:color w:val="2C3E50"/>
          <w:sz w:val="21"/>
        </w:rPr>
        <w:t>Colour-coded conditional formatting and professional styling</w:t>
      </w:r>
    </w:p>
    <w:p>
      <w:pPr>
        <w:spacing w:before="160" w:after="40"/>
      </w:pPr>
      <w:r>
        <w:rPr>
          <w:rFonts w:ascii="Calibri" w:hAnsi="Calibri"/>
          <w:b/>
          <w:color w:val="1F2D54"/>
          <w:sz w:val="22"/>
        </w:rPr>
        <w:t>▶  Consulting Delivery</w:t>
      </w:r>
    </w:p>
    <w:p>
      <w:pPr>
        <w:pStyle w:val="ListBullet"/>
        <w:spacing w:before="20" w:after="20"/>
      </w:pPr>
      <w:r>
        <w:rPr>
          <w:rFonts w:ascii="Calibri" w:hAnsi="Calibri"/>
          <w:color w:val="2C3E50"/>
          <w:sz w:val="21"/>
        </w:rPr>
        <w:t>Portfolio-quality documentation and case study structure</w:t>
      </w:r>
    </w:p>
    <w:p>
      <w:pPr>
        <w:pStyle w:val="ListBullet"/>
        <w:spacing w:before="20" w:after="20"/>
      </w:pPr>
      <w:r>
        <w:rPr>
          <w:rFonts w:ascii="Calibri" w:hAnsi="Calibri"/>
          <w:color w:val="2C3E50"/>
          <w:sz w:val="21"/>
        </w:rPr>
        <w:t>Client-ready workbook with locked formulas and navigation guides</w:t>
      </w:r>
    </w:p>
    <w:p>
      <w:pPr>
        <w:pStyle w:val="ListBullet"/>
        <w:spacing w:before="20" w:after="20"/>
      </w:pPr>
      <w:r>
        <w:rPr>
          <w:rFonts w:ascii="Calibri" w:hAnsi="Calibri"/>
          <w:color w:val="2C3E50"/>
          <w:sz w:val="21"/>
        </w:rPr>
        <w:t>Business problem framing and measurable impact quantification</w:t>
      </w:r>
    </w:p>
    <w:p>
      <w:pPr>
        <w:spacing w:before="280" w:after="80"/>
        <w:shd w:val="clear" w:color="auto" w:fill="1F2D54"/>
      </w:pPr>
      <w:r>
        <w:rPr>
          <w:rFonts w:ascii="Calibri" w:hAnsi="Calibri"/>
          <w:b/>
          <w:color w:val="FFFFFF"/>
          <w:sz w:val="24"/>
        </w:rPr>
        <w:t xml:space="preserve">  10. POTENTIAL CLIENT APPLICATIONS  </w:t>
      </w:r>
    </w:p>
    <w:p>
      <w:pPr>
        <w:spacing w:before="40" w:after="80"/>
        <w:ind w:firstLine="0"/>
      </w:pPr>
      <w:r>
        <w:rPr>
          <w:rFonts w:ascii="Calibri" w:hAnsi="Calibri"/>
          <w:color w:val="2C3E50"/>
          <w:sz w:val="21"/>
        </w:rPr>
        <w:t>This Excel automation framework can be adapted and deployed across a wide range of import-export and supply chain contexts:</w:t>
      </w:r>
    </w:p>
    <w:tbl>
      <w:tblPr>
        <w:tblStyle w:val="TableGrid"/>
        <w:tblW w:type="auto" w:w="0"/>
        <w:jc w:val="center"/>
        <w:tblLook w:firstColumn="1" w:firstRow="1" w:lastColumn="0" w:lastRow="0" w:noHBand="0" w:noVBand="1" w:val="04A0"/>
      </w:tblPr>
      <w:tblGrid>
        <w:gridCol w:w="4703"/>
        <w:gridCol w:w="4703"/>
      </w:tblGrid>
      <w:tr>
        <w:tc>
          <w:tcPr>
            <w:tcW w:type="dxa" w:w="4703"/>
            <w:shd w:val="clear" w:color="auto" w:fill="3A6EC2"/>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Client Type</w:t>
            </w:r>
          </w:p>
        </w:tc>
        <w:tc>
          <w:tcPr>
            <w:tcW w:type="dxa" w:w="4703"/>
            <w:shd w:val="clear" w:color="auto" w:fill="3A6EC2"/>
            <w:tcBorders>
              <w:top w:val="single" w:sz="6" w:space="0" w:color="FFFFFF"/>
              <w:left w:val="single" w:sz="6" w:space="0" w:color="FFFFFF"/>
              <w:bottom w:val="single" w:sz="6" w:space="0" w:color="FFFFFF"/>
              <w:right w:val="single" w:sz="6" w:space="0" w:color="FFFFFF"/>
            </w:tcBorders>
            <w:vAlign w:val="center"/>
          </w:tcPr>
          <w:p>
            <w:pPr>
              <w:jc w:val="center"/>
            </w:pPr>
            <w:r>
              <w:rPr>
                <w:rFonts w:ascii="Calibri" w:hAnsi="Calibri"/>
                <w:b/>
                <w:color w:val="FFFFFF"/>
                <w:sz w:val="19"/>
              </w:rPr>
              <w:t>Application</w:t>
            </w:r>
          </w:p>
        </w:tc>
      </w:tr>
      <w:tr>
        <w:tc>
          <w:tcPr>
            <w:tcW w:type="dxa" w:w="4703"/>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Food &amp; Beverage Importers</w:t>
            </w:r>
          </w:p>
        </w:tc>
        <w:tc>
          <w:tcPr>
            <w:tcW w:type="dxa" w:w="4703"/>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Multi-SKU landed cost management across sourcing countries with FX handling</w:t>
            </w:r>
          </w:p>
        </w:tc>
      </w:tr>
      <w:tr>
        <w:tc>
          <w:tcPr>
            <w:tcW w:type="dxa" w:w="4703"/>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Fashion &amp; Apparel Importers</w:t>
            </w:r>
          </w:p>
        </w:tc>
        <w:tc>
          <w:tcPr>
            <w:tcW w:type="dxa" w:w="4703"/>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Seasonal freight rate modeling + duty classification by product category</w:t>
            </w:r>
          </w:p>
        </w:tc>
      </w:tr>
      <w:tr>
        <w:tc>
          <w:tcPr>
            <w:tcW w:type="dxa" w:w="4703"/>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Electronics Distributors</w:t>
            </w:r>
          </w:p>
        </w:tc>
        <w:tc>
          <w:tcPr>
            <w:tcW w:type="dxa" w:w="4703"/>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High-value goods with complex duty structures and insurance requirements</w:t>
            </w:r>
          </w:p>
        </w:tc>
      </w:tr>
      <w:tr>
        <w:tc>
          <w:tcPr>
            <w:tcW w:type="dxa" w:w="4703"/>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E-commerce Cross-Border Sellers</w:t>
            </w:r>
          </w:p>
        </w:tc>
        <w:tc>
          <w:tcPr>
            <w:tcW w:type="dxa" w:w="4703"/>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Per-unit profitability analysis for marketplace pricing decisions</w:t>
            </w:r>
          </w:p>
        </w:tc>
      </w:tr>
      <w:tr>
        <w:tc>
          <w:tcPr>
            <w:tcW w:type="dxa" w:w="4703"/>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3PL / Freight Forwarders</w:t>
            </w:r>
          </w:p>
        </w:tc>
        <w:tc>
          <w:tcPr>
            <w:tcW w:type="dxa" w:w="4703"/>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Client cost transparency tool for landed cost breakdowns and rate quotes</w:t>
            </w:r>
          </w:p>
        </w:tc>
      </w:tr>
      <w:tr>
        <w:tc>
          <w:tcPr>
            <w:tcW w:type="dxa" w:w="4703"/>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Procurement Consultants</w:t>
            </w:r>
          </w:p>
        </w:tc>
        <w:tc>
          <w:tcPr>
            <w:tcW w:type="dxa" w:w="4703"/>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Supplier benchmarking and scenario analysis for sourcing negotiations</w:t>
            </w:r>
          </w:p>
        </w:tc>
      </w:tr>
      <w:tr>
        <w:tc>
          <w:tcPr>
            <w:tcW w:type="dxa" w:w="4703"/>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Startup Importers</w:t>
            </w:r>
          </w:p>
        </w:tc>
        <w:tc>
          <w:tcPr>
            <w:tcW w:type="dxa" w:w="4703"/>
            <w:shd w:val="clear" w:color="auto" w:fill="FFFFFF"/>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Ready-to-use financial model without ERP investment</w:t>
            </w:r>
          </w:p>
        </w:tc>
      </w:tr>
      <w:tr>
        <w:tc>
          <w:tcPr>
            <w:tcW w:type="dxa" w:w="4703"/>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SME Operations Teams</w:t>
            </w:r>
          </w:p>
        </w:tc>
        <w:tc>
          <w:tcPr>
            <w:tcW w:type="dxa" w:w="4703"/>
            <w:shd w:val="clear" w:color="auto" w:fill="EEF3FB"/>
            <w:tcBorders>
              <w:top w:val="single" w:sz="4" w:space="0" w:color="BDC3C7"/>
              <w:left w:val="single" w:sz="4" w:space="0" w:color="BDC3C7"/>
              <w:bottom w:val="single" w:sz="4" w:space="0" w:color="BDC3C7"/>
              <w:right w:val="single" w:sz="4" w:space="0" w:color="BDC3C7"/>
            </w:tcBorders>
          </w:tcPr>
          <w:p>
            <w:pPr>
              <w:jc w:val="center"/>
            </w:pPr>
            <w:r>
              <w:rPr>
                <w:rFonts w:ascii="Calibri" w:hAnsi="Calibri"/>
                <w:color w:val="2C3E50"/>
                <w:sz w:val="19"/>
              </w:rPr>
              <w:t>Self-maintained cost management tool with minimal training required</w:t>
            </w:r>
          </w:p>
        </w:tc>
      </w:tr>
    </w:tbl>
    <w:p/>
    <w:p/>
    <w:tbl>
      <w:tblPr>
        <w:tblStyle w:val="TableGrid"/>
        <w:tblW w:type="auto" w:w="0"/>
        <w:jc w:val="center"/>
        <w:tblLook w:firstColumn="1" w:firstRow="1" w:lastColumn="0" w:lastRow="0" w:noHBand="0" w:noVBand="1" w:val="04A0"/>
      </w:tblPr>
      <w:tblGrid>
        <w:gridCol w:w="9406"/>
      </w:tblGrid>
      <w:tr>
        <w:trPr>
          <w:trHeight w:val="850" w:hRule="exact"/>
        </w:trPr>
        <w:tc>
          <w:tcPr>
            <w:tcW w:type="dxa" w:w="9406"/>
            <w:shd w:val="clear" w:color="auto" w:fill="1F2D54"/>
          </w:tcPr>
          <w:p>
            <w:pPr>
              <w:jc w:val="center"/>
            </w:pPr>
            <w:r>
              <w:rPr>
                <w:rFonts w:ascii="Calibri" w:hAnsi="Calibri"/>
                <w:b/>
                <w:color w:val="FFFFFF"/>
                <w:sz w:val="26"/>
              </w:rPr>
              <w:t>💼  AVAILABLE FOR FREELANCE &amp; CONSULTING ENGAGEMENTS</w:t>
              <w:br/>
            </w:r>
            <w:r>
              <w:rPr>
                <w:rFonts w:ascii="Calibri" w:hAnsi="Calibri"/>
                <w:color w:val="D6E4F7"/>
                <w:sz w:val="20"/>
              </w:rPr>
              <w:t>Excel Automation  ·  Financial Modeling  ·  Business Intelligence  ·  Dashboard Design</w:t>
            </w:r>
          </w:p>
        </w:tc>
      </w:tr>
    </w:tbl>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olor w:val="2C3E50"/>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